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Kuulutatakse välja võistlus EU Datathon 2018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Euroopa Liidu Väljaannete Talitus kuulutab juba teist aastat järjest välja võistluse EU Datathon, millega tõstetakse esile ELi ja riiklike andmete seostamise potentsiaali. </w:t>
      </w:r>
      <w:r>
        <w:rPr>
          <w:rFonts w:ascii="Arial" w:hAnsi="Arial"/>
          <w:sz w:val="21"/>
        </w:rPr>
        <w:t>Võistlus kuulutati väljas mais 2018 ja finaal toimub 2. oktoobril 2018 Brüsselis.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Osalejaid kutsutakse üles välja töötama rakendusi, mis kasutavad vähemalt üht andmekogu, mille ELi institutsioonid ja asutused on teinud kättesaadavaks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ELi avatud andmete portaalis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Rakendused saavad võistelda ühel järgmistest teemakonkurssidest: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 xml:space="preserve">ELi avatud andmed – rohkem innovatsiooni Euroopas 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Siseriiklik ja ELi õigus – muudame õigusaktid koostalitlusvõimelisemaks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ELi riigihanked – kasulikud nii kodanikele kui ka ettevõtjatele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Euroopa Toiduohutusamet – andmete taaskasutus ja innovatsioon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2017. aastal esmakordselt peetud võistluse raames said ELi talitused, idufirmad ja ettevõtjad suhelda, luua võrgustikke, vahetada ideid ja luua ELi avatud andmeid kasutavaid uusi rakendusi.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Euroopa Liidu Väljaannete Talituse peadirektor Rudolf Strohmeier selgitas esimese võistluse tulemusi kokku võttes järgmist: </w:t>
      </w:r>
      <w:r>
        <w:rPr>
          <w:rStyle w:val="Emphasis"/>
          <w:rFonts w:ascii="Arial" w:hAnsi="Arial"/>
          <w:i w:val="0"/>
          <w:color w:val="333333"/>
          <w:sz w:val="21"/>
        </w:rPr>
        <w:t>„... see näitas, kui seotud me oleme, kui seotud on meie genereeritavad andmed ning kui oluline on tunnustada selliste andmete taaskasutust ja avada selle potentsiaal“.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EU Datathoni 2018 partnerid on: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3">
        <w:r>
          <w:rPr>
            <w:rStyle w:val="Hyperlink"/>
            <w:rFonts w:ascii="Arial" w:hAnsi="Arial"/>
            <w:sz w:val="21"/>
            <w:u w:val="none"/>
          </w:rPr>
          <w:t>Euroopa Komisjoni sidevõrkude, sisu ja tehnoloogia peadirektoraadi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Euroopa andmeportaal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>
          <w:rPr>
            <w:rStyle w:val="Hyperlink"/>
            <w:rFonts w:ascii="Arial" w:hAnsi="Arial"/>
            <w:sz w:val="21"/>
            <w:u w:val="none"/>
          </w:rPr>
          <w:t>Euroopa Komisjoni informaatika peadirektoraadi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ISA² programm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>
          <w:rPr>
            <w:rStyle w:val="Hyperlink"/>
            <w:rFonts w:ascii="Arial" w:hAnsi="Arial"/>
            <w:sz w:val="21"/>
            <w:u w:val="none"/>
          </w:rPr>
          <w:t>Euroopa Komisjoni siseturu, tööstuse, ettevõtluse ja VKEde peadirektoraat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>
          <w:rPr>
            <w:rStyle w:val="Hyperlink"/>
            <w:rFonts w:ascii="Arial" w:hAnsi="Arial"/>
            <w:sz w:val="21"/>
            <w:u w:val="none"/>
          </w:rPr>
          <w:t>Euroopa Toiduohutusamet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20">
        <w:r>
          <w:rPr>
            <w:rStyle w:val="Hyperlink"/>
            <w:rFonts w:ascii="Arial" w:hAnsi="Arial"/>
            <w:sz w:val="21"/>
            <w:u w:val="none"/>
          </w:rPr>
          <w:t>Euroopa õigusaktide identifikaatori (ELI) töörühm</w:t>
        </w:r>
      </w:hyperlink>
      <w:r>
        <w:t xml:space="preserve"> </w:t>
      </w:r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Osalemiseks või võistluse kohta lisateabe saamiseks külastage veebisaiti: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et-E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t-EE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en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en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