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F68E0" w:rsidP="009E0016" w:rsidRDefault="00AF68E0" w14:paraId="0A0BFE27" w14:textId="6999D6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b/>
          <w:bCs/>
          <w:sz w:val="28"/>
          <w:szCs w:val="28"/>
          <w:rFonts w:ascii="Calibri" w:hAnsi="Calibri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713" w:rsidP="009E0016" w:rsidRDefault="00BC3713" w14:paraId="4DD6CA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GB"/>
        </w:rPr>
      </w:pPr>
    </w:p>
    <w:p w:rsidRPr="00FF1FA2" w:rsidR="007D7581" w:rsidP="009E0016" w:rsidRDefault="007D7581" w14:paraId="004A0EB6" w14:textId="31544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rStyle w:val="normaltextrun"/>
          <w:b/>
          <w:bCs/>
          <w:sz w:val="28"/>
          <w:szCs w:val="28"/>
          <w:rFonts w:ascii="Calibri" w:hAnsi="Calibri"/>
        </w:rPr>
        <w:t xml:space="preserve">Moldar o nosso futuro digital com as primeiras Jornadas de Dados Abertos da UE</w:t>
      </w:r>
    </w:p>
    <w:p w:rsidR="007D7581" w:rsidP="009E0016" w:rsidRDefault="007D7581" w14:paraId="342317E9" w14:textId="0A18AC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6FA5AE2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41591D8A" w14:textId="3BB1F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A primeira edição das Jornadas de Dados Abertos da UE decorreu em linha de 23 a 25 de novembro de 2021.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 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O evento incluiu a conferência </w:t>
      </w:r>
      <w:hyperlink r:id="rId8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DataViz</w:t>
        </w:r>
      </w:hyperlink>
      <w:r>
        <w:rPr>
          <w:rStyle w:val="normaltextrun"/>
          <w:b/>
          <w:bCs/>
          <w:sz w:val="22"/>
          <w:szCs w:val="22"/>
          <w:rFonts w:ascii="Calibri" w:hAnsi="Calibri"/>
        </w:rPr>
        <w:t xml:space="preserve">, uma conferência internacional sobre dados abertos e visualização de dados, seguida pela fase final do </w:t>
      </w:r>
      <w:hyperlink r:id="rId9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Datathon</w:t>
        </w:r>
      </w:hyperlink>
      <w:r>
        <w:rPr>
          <w:sz w:val="22"/>
          <w:szCs w:val="22"/>
          <w:rStyle w:val="normaltextrun"/>
          <w:b/>
          <w:bCs/>
          <w:rFonts w:ascii="Calibri" w:hAnsi="Calibri"/>
        </w:rPr>
        <w:t xml:space="preserve">, o concurso anual de dados abertos.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7D7581" w:rsidP="009E0016" w:rsidRDefault="007D7581" w14:paraId="12CEFB7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="007D7581" w:rsidP="596DD439" w:rsidRDefault="007D7581" w14:paraId="2991F73F" w14:textId="728091C0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As </w:t>
      </w:r>
      <w:hyperlink r:id="R8e1ba1c8eea74597">
        <w:r>
          <w:rPr>
            <w:rStyle w:val="Hyperlink"/>
            <w:sz w:val="22"/>
            <w:szCs w:val="22"/>
            <w:rFonts w:ascii="Calibri" w:hAnsi="Calibri"/>
          </w:rPr>
          <w:t xml:space="preserve">Jornadas de Dados Abertos da UE</w:t>
        </w:r>
      </w:hyperlink>
      <w:r>
        <w:rPr>
          <w:rStyle w:val="normaltextrun"/>
          <w:sz w:val="22"/>
          <w:szCs w:val="22"/>
          <w:rFonts w:ascii="Calibri" w:hAnsi="Calibri"/>
        </w:rPr>
        <w:t xml:space="preserve"> foram concebidas para serem pertinentes para todas as partes interessadas em dados abertos e para os reutilizadores de dados, com especial destaque para as necessidades do setor púbico da UE.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O evento reuniu mais de 2 000 registos de entusiastas dos dados, peritos em visualização de dados e criadores de soluções.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Estiveram representados diferentes setores da sociedade, com oradores que contribuíram com a sua experiência de administrações públicas, universidades e organizações internacionais, tais como o Banco Mundial.</w:t>
      </w:r>
    </w:p>
    <w:p w:rsidRPr="00B42A50" w:rsidR="007D7581" w:rsidP="009E0016" w:rsidRDefault="007D7581" w14:paraId="5FC6FEC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Pr="00B42A50" w:rsidR="007D7581" w:rsidP="009E0016" w:rsidRDefault="007D7581" w14:paraId="70282E44" w14:textId="2D46A5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As Jornadas de Dados Abertos da UE foram abertas por Hilde Hardeman, a recém-nomeada Diretora-Geral do Serviço das Publicações, e nelas intervieram vários oradores de primeiro plano.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Xavier Bettel, primeiro-ministro do Luxemburgo, destacou a prioridade que o Governo luxemburguês deu à transformação digital e Johannes Hahn, comissário europeu responsável pelo Orçamento e Administração, contextualizou a visão da Comissão sobre a transformação digital da UE até 2030.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Boštjan Koritnik, ministro da Administração Pública da Eslovénia, em representação da Presidência eslovena do Conselho da União Europeia, e Pascal Leardini, secretário-geral adjunto e diretor-geral administrativo da Comissão Europeia, apresentaram observações inspiradoras sobre o futuro dos dados abertos.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</w:p>
    <w:p w:rsidR="00B42A50" w:rsidP="009E0016" w:rsidRDefault="00B42A50" w14:paraId="5083E615" w14:textId="0A6047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7A0AC446" w14:textId="54D610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9E0016" w:rsidR="007D7581" w:rsidP="009E0016" w:rsidRDefault="007D7581" w14:paraId="6F1E8560" w14:textId="46EBDF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EU DataViz 2021 (23-24 de novembro de 2021)</w:t>
      </w:r>
    </w:p>
    <w:p w:rsidRPr="009E0016" w:rsidR="00BC3713" w:rsidP="009E0016" w:rsidRDefault="00BC3713" w14:paraId="586C476E" w14:textId="4A8ECC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D35448" w:rsidR="007D7581" w:rsidP="009E0016" w:rsidRDefault="009E0016" w14:paraId="00EF943D" w14:textId="61E489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56704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sz w:val="22"/>
          <w:szCs w:val="22"/>
          <w:rFonts w:ascii="Calibri" w:hAnsi="Calibri"/>
        </w:rPr>
        <w:t xml:space="preserve">As Jornadas de Dados Abertos da UE começaram com a conferência EU DataViz 2021, destinada a partilhar experiências e boas práticas relacionadas com os dados abertos e a visualização de dados.</w:t>
      </w:r>
      <w:r>
        <w:rPr>
          <w:sz w:val="18"/>
          <w:szCs w:val="18"/>
          <w:rFonts w:ascii="Segoe UI" w:hAnsi="Segoe U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O primeiro dia explorou os dados abertos como um fator essencial da transformação digital.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Numa reunião plenária, Yvo Volman, da Comissão Europeia, apresentou a perspetiva da UE sobre os dados abertos e apresentou detalhadamente os planos da Comissão para a construção de um mercado único europeu de dados.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As sessões especializadas abordaram temas que vão desde a interoperabilidade e acessibilidade dos dados abertos da UE até à criação de ecossistemas de dados abertos e muito mais.</w:t>
      </w:r>
    </w:p>
    <w:p w:rsidR="00B42A50" w:rsidP="009E0016" w:rsidRDefault="00B42A50" w14:paraId="02168C0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7D7581" w:rsidP="009E0016" w:rsidRDefault="007D7581" w14:paraId="3607A8CA" w14:textId="38977E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O segundo dia foi consagrado à visualização de dados.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Sixtine Bouygues, da Comissão Europeia, salientou os benefícios e desafios da visualização de dados para a administração da UE e Valérie Saintot, do Banco Central Europeu, debruçou-se sobre a visualização de dados como vetor de inovação.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As sessões em pequenos grupos inspiraram debates sobre a visualização de dados como instrumento para descobrir novos conhecimentos através de narrativas e exploraram projetos de visualização de dados bem sucedidos a nível internacional, juntamente com as tendências mais recentes neste domínio.</w:t>
      </w:r>
    </w:p>
    <w:p w:rsidR="00DD6D75" w:rsidP="009E0016" w:rsidRDefault="00DD6D75" w14:paraId="688F0045" w14:textId="130AF787">
      <w:pPr>
        <w:jc w:val="both"/>
        <w:rPr>
          <w:sz w:val="18"/>
          <w:szCs w:val="18"/>
          <w:rFonts w:ascii="Segoe UI" w:hAnsi="Segoe UI" w:eastAsia="Times New Roman" w:cs="Segoe UI"/>
        </w:rPr>
      </w:pPr>
      <w:r>
        <w:br w:type="page"/>
      </w:r>
    </w:p>
    <w:p w:rsidRPr="007D7581" w:rsidR="00DD6D75" w:rsidP="009E0016" w:rsidRDefault="00DD6D75" w14:paraId="26C6B9C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="007D7581" w:rsidP="009E0016" w:rsidRDefault="007D7581" w14:paraId="494698CB" w14:textId="222F3B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 Datathon (25 de novembro de 2021)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DD6D75" w:rsidP="009E0016" w:rsidRDefault="009E0016" w14:paraId="7703F270" w14:textId="7826845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60800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42A50" w:rsidR="007D7581" w:rsidP="009E0016" w:rsidRDefault="007D7581" w14:paraId="34606CE1" w14:textId="24234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trike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As Jornadas de Dados Abertos da UE foram encerradas com a fase final do concurso EU Datathon, o concurso anual de dados abertos da UE.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Nove equipas finalistas, selecionadas de entre quase 100 candidaturas provenientes de 33 países, competiram em três categorias, correspondentes às prioridades políticas da Comissão Europeia.</w:t>
      </w:r>
    </w:p>
    <w:p w:rsidRPr="003867CA" w:rsidR="00B42A50" w:rsidP="009E0016" w:rsidRDefault="00B42A50" w14:paraId="723DB200" w14:textId="4AA940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="007D7581" w:rsidP="1DB42B79" w:rsidRDefault="007D7581" w14:paraId="43E2A808" w14:textId="107A8225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Antes da final, as equipas apresentaram as suas ideias para aplicações baseadas em dados abertos da UE numa série de </w:t>
      </w:r>
      <w:hyperlink r:id="R916a1cdcc0a84d65">
        <w:r>
          <w:rPr>
            <w:rStyle w:val="Hyperlink"/>
            <w:sz w:val="22"/>
            <w:szCs w:val="22"/>
            <w:rFonts w:ascii="Calibri" w:hAnsi="Calibri"/>
          </w:rPr>
          <w:t xml:space="preserve">vídeos</w:t>
        </w:r>
      </w:hyperlink>
      <w:r>
        <w:rPr>
          <w:sz w:val="22"/>
          <w:szCs w:val="22"/>
          <w:rStyle w:val="normaltextrun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Em 25 de novembro de 2021, apresentaram as aplicações em pleno funcionamento ao júri e ao público.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A prémio estava o montante de 99 000 EUR, juntamente com o Prémio do Público.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No seu discurso principal, o comissário Johannes Hahn elogiou as abordagens inovadoras das equipas para ajudar a Europa a enfrentar os seus principais desafios: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«O progresso não é condicionado apenas pela falta de tecnologia; muitas vezes é-o pela falta de um estado de espírito adequado...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Conseguiram criar novos projetos que fazem todo o sentido e desenvolver aplicações funcionais para fazer face a desafios cruciais.</w:t>
      </w:r>
      <w:r>
        <w:rPr>
          <w:sz w:val="22"/>
          <w:szCs w:val="22"/>
          <w:rStyle w:val="eop"/>
          <w:rFonts w:ascii="Calibri" w:hAnsi="Calibri"/>
        </w:rPr>
        <w:t xml:space="preserve">»</w:t>
      </w:r>
    </w:p>
    <w:p w:rsidR="009E0016" w:rsidP="009E0016" w:rsidRDefault="009E0016" w14:paraId="292E226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</w:p>
    <w:p w:rsidR="009E0016" w:rsidP="009E0016" w:rsidRDefault="009E0016" w14:paraId="0FD621D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sz w:val="22"/>
          <w:szCs w:val="22"/>
          <w:rFonts w:ascii="Calibri" w:hAnsi="Calibri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016" w:rsidP="009E0016" w:rsidRDefault="009E0016" w14:paraId="62A9CFB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Pr="007D7581" w:rsidR="007D7581" w:rsidP="009E0016" w:rsidRDefault="007D7581" w14:paraId="7D4C549C" w14:textId="24DD8E5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Um júri composto por 18 especialistas em dados, presidido por Per Nymand-Andersen (Banco Central Europeu), selecionou os vencedores para cada desafio.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B42A50" w:rsidP="009E0016" w:rsidRDefault="00B42A50" w14:paraId="7456EC8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7D7581" w:rsidR="007D7581" w:rsidP="009E0016" w:rsidRDefault="007D7581" w14:paraId="45BC69EE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Vencedores do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primeiro desafio: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Um Pacto Ecológico Europeu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156775BB" w14:textId="4041CBD6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1.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º</w:t>
      </w:r>
      <w:r>
        <w:rPr>
          <w:sz w:val="22"/>
          <w:szCs w:val="22"/>
          <w:rStyle w:val="normaltextrun"/>
          <w:rFonts w:ascii="Calibri" w:hAnsi="Calibri"/>
        </w:rPr>
        <w:t xml:space="preserve"> lugar: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The Carbons</w:t>
      </w:r>
      <w:r>
        <w:rPr>
          <w:sz w:val="22"/>
          <w:szCs w:val="22"/>
          <w:rStyle w:val="normaltextrun"/>
          <w:rFonts w:ascii="Calibri" w:hAnsi="Calibri"/>
        </w:rPr>
        <w:t xml:space="preserve"> – Alimentar o corpo sem conspurcar a Terra</w:t>
      </w:r>
      <w:r>
        <w:rPr>
          <w:sz w:val="22"/>
          <w:szCs w:val="22"/>
          <w:rStyle w:val="normaltextrun"/>
          <w:color w:val="8764B8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(Índia)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838B18A" w14:textId="4514D7B5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2.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º</w:t>
      </w:r>
      <w:r>
        <w:rPr>
          <w:sz w:val="22"/>
          <w:szCs w:val="22"/>
          <w:rStyle w:val="normaltextrun"/>
          <w:rFonts w:ascii="Calibri" w:hAnsi="Calibri"/>
        </w:rPr>
        <w:t xml:space="preserve"> lugar: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cleanSpot</w:t>
      </w:r>
      <w:r>
        <w:rPr>
          <w:sz w:val="22"/>
          <w:szCs w:val="22"/>
          <w:rStyle w:val="normaltextrun"/>
          <w:rFonts w:ascii="Calibri" w:hAnsi="Calibri"/>
        </w:rPr>
        <w:t xml:space="preserve"> – Impulsionar a reciclagem porque não há planeta B. (Espanha)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1FFF26B" w14:textId="34BF045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3.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º</w:t>
      </w:r>
      <w:r>
        <w:rPr>
          <w:sz w:val="22"/>
          <w:szCs w:val="22"/>
          <w:rStyle w:val="normaltextrun"/>
          <w:rFonts w:ascii="Calibri" w:hAnsi="Calibri"/>
        </w:rPr>
        <w:t xml:space="preserve"> lugar: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FROG2G</w:t>
      </w:r>
      <w:r>
        <w:rPr>
          <w:sz w:val="22"/>
          <w:szCs w:val="22"/>
          <w:rStyle w:val="normaltextrun"/>
          <w:rFonts w:ascii="Calibri" w:hAnsi="Calibri"/>
        </w:rPr>
        <w:t xml:space="preserve"> – Tornar verde a cidade cinzenta, uma árvore de cada vez.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(Montenegro)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4CE2869" w14:textId="2A8A4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63F10C26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Vencedores do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segundo desafio: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Uma economia ao serviço das pessoas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43BE90B0" w14:textId="2139ABA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1.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º</w:t>
      </w:r>
      <w:r>
        <w:rPr>
          <w:sz w:val="22"/>
          <w:szCs w:val="22"/>
          <w:rStyle w:val="normaltextrun"/>
          <w:rFonts w:ascii="Calibri" w:hAnsi="Calibri"/>
        </w:rPr>
        <w:t xml:space="preserve"> lugar: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ITER IDEA</w:t>
      </w:r>
      <w:r>
        <w:rPr>
          <w:sz w:val="22"/>
          <w:szCs w:val="22"/>
          <w:rStyle w:val="normaltextrun"/>
          <w:rFonts w:ascii="Calibri" w:hAnsi="Calibri"/>
        </w:rPr>
        <w:t xml:space="preserve"> – Um novo portal que facilita a mobilidade das mulheres na Europa.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(Itália)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014567DF" w14:textId="7356674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2.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º</w:t>
      </w:r>
      <w:r>
        <w:rPr>
          <w:sz w:val="22"/>
          <w:szCs w:val="22"/>
          <w:rStyle w:val="normaltextrun"/>
          <w:rFonts w:ascii="Calibri" w:hAnsi="Calibri"/>
        </w:rPr>
        <w:t xml:space="preserve"> lugar: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PowerToYEUth</w:t>
      </w:r>
      <w:r>
        <w:rPr>
          <w:sz w:val="22"/>
          <w:szCs w:val="22"/>
          <w:rStyle w:val="normaltextrun"/>
          <w:rFonts w:ascii="Calibri" w:hAnsi="Calibri"/>
        </w:rPr>
        <w:t xml:space="preserve"> – Encontrar financiamento público para uma PME e impulsionar o emprego dos jovens.</w:t>
      </w:r>
      <w:r>
        <w:rPr>
          <w:sz w:val="22"/>
          <w:szCs w:val="22"/>
          <w:rStyle w:val="eop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(Portugal)</w:t>
      </w:r>
    </w:p>
    <w:p w:rsidRPr="007D7581" w:rsidR="003867CA" w:rsidP="009E0016" w:rsidRDefault="00644D23" w14:paraId="794B4979" w14:textId="39479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3.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º</w:t>
      </w:r>
      <w:r>
        <w:rPr>
          <w:sz w:val="22"/>
          <w:szCs w:val="22"/>
          <w:rStyle w:val="normaltextrun"/>
          <w:rFonts w:ascii="Calibri" w:hAnsi="Calibri"/>
        </w:rPr>
        <w:t xml:space="preserve"> lugar: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CityScale</w:t>
      </w:r>
      <w:r>
        <w:rPr>
          <w:sz w:val="22"/>
          <w:szCs w:val="22"/>
          <w:rStyle w:val="normaltextrun"/>
          <w:rFonts w:ascii="Calibri" w:hAnsi="Calibri"/>
        </w:rPr>
        <w:t xml:space="preserve"> – Visualizar, comparar e encontrar o melhor local para viver.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(Ucrânia)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6F35F39C" w14:textId="4E1471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03CF9393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Vencedores do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terceiro desafio: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Uma Europa adaptada à era digital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A35B4A3" w14:textId="487E2CA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1.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º</w:t>
      </w:r>
      <w:r>
        <w:rPr>
          <w:sz w:val="22"/>
          <w:szCs w:val="22"/>
          <w:rStyle w:val="normaltextrun"/>
          <w:rFonts w:ascii="Calibri" w:hAnsi="Calibri"/>
        </w:rPr>
        <w:t xml:space="preserve"> lugar</w:t>
      </w:r>
      <w:r>
        <w:rPr>
          <w:sz w:val="22"/>
          <w:szCs w:val="22"/>
          <w:rStyle w:val="normaltextrun"/>
          <w:b/>
          <w:rFonts w:ascii="Calibri" w:hAnsi="Calibri"/>
        </w:rPr>
        <w:t xml:space="preserve">:</w:t>
      </w:r>
      <w:r>
        <w:rPr>
          <w:sz w:val="22"/>
          <w:szCs w:val="22"/>
          <w:rStyle w:val="normaltextrun"/>
          <w:b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TrackmyEU</w:t>
      </w:r>
      <w:r>
        <w:rPr>
          <w:sz w:val="22"/>
          <w:szCs w:val="22"/>
          <w:rStyle w:val="normaltextrun"/>
          <w:rFonts w:ascii="Calibri" w:hAnsi="Calibri"/>
        </w:rPr>
        <w:t xml:space="preserve"> – Explore as políticas da UE, siga os temas que lhe interessam e faça ouvir a sua voz em Bruxelas!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(França, Itália)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12CECD24" w14:textId="5B1A068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2.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º</w:t>
      </w:r>
      <w:r>
        <w:rPr>
          <w:sz w:val="22"/>
          <w:szCs w:val="22"/>
          <w:rStyle w:val="normaltextrun"/>
          <w:rFonts w:ascii="Calibri" w:hAnsi="Calibri"/>
        </w:rPr>
        <w:t xml:space="preserve"> lugar: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Democracy Game</w:t>
      </w:r>
      <w:r>
        <w:rPr>
          <w:sz w:val="22"/>
          <w:szCs w:val="22"/>
          <w:rStyle w:val="normaltextrun"/>
          <w:rFonts w:ascii="Calibri" w:hAnsi="Calibri"/>
        </w:rPr>
        <w:t xml:space="preserve"> – Tent</w:t>
      </w:r>
      <w:r>
        <w:rPr>
          <w:sz w:val="22"/>
          <w:szCs w:val="22"/>
          <w:rStyle w:val="normaltextrun"/>
          <w:rFonts w:ascii="Calibri" w:hAnsi="Calibri"/>
        </w:rPr>
        <w:t xml:space="preserve">ar a política com um instrumento de debate virtual.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(Grécia)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38D84FA" w14:textId="386BF7C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3.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º</w:t>
      </w:r>
      <w:r>
        <w:rPr>
          <w:sz w:val="22"/>
          <w:szCs w:val="22"/>
          <w:rStyle w:val="normaltextrun"/>
          <w:rFonts w:ascii="Calibri" w:hAnsi="Calibri"/>
        </w:rPr>
        <w:t xml:space="preserve"> lugar: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VislmE-360</w:t>
      </w:r>
      <w:r>
        <w:rPr>
          <w:sz w:val="22"/>
          <w:szCs w:val="22"/>
          <w:rStyle w:val="normaltextrun"/>
          <w:rFonts w:ascii="Calibri" w:hAnsi="Calibri"/>
        </w:rPr>
        <w:t xml:space="preserve">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Obtenha uma visão de 360 graus sobre a deficiência visual na UE.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(Itália)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1237F94" w14:textId="49B9AF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39E20BBC" w14:textId="0736E1AA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Prémio do Público</w:t>
      </w:r>
    </w:p>
    <w:p w:rsidR="00AC3865" w:rsidP="009E0016" w:rsidRDefault="00AC3865" w14:paraId="4619A6E5" w14:textId="5F7BE6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rFonts w:ascii="Calibri" w:hAnsi="Calibri"/>
        </w:rPr>
        <w:t xml:space="preserve">O Prémio do Público foi atribuído às seguintes equipas: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644D23" w:rsidR="00AC3865" w:rsidP="009E0016" w:rsidRDefault="00AC3865" w14:paraId="222D59F3" w14:textId="372E3A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1.</w:t>
      </w:r>
      <w:r>
        <w:rPr>
          <w:rStyle w:val="normaltextrun"/>
          <w:sz w:val="22"/>
          <w:szCs w:val="22"/>
          <w:vertAlign w:val="superscript"/>
          <w:rFonts w:ascii="Calibri" w:hAnsi="Calibri"/>
        </w:rPr>
        <w:t xml:space="preserve">º</w:t>
      </w:r>
      <w:r>
        <w:rPr>
          <w:rStyle w:val="normaltextrun"/>
          <w:sz w:val="22"/>
          <w:szCs w:val="22"/>
          <w:rFonts w:ascii="Calibri" w:hAnsi="Calibri"/>
        </w:rPr>
        <w:t xml:space="preserve"> lugar: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ITER IDEA </w:t>
      </w:r>
      <w:r>
        <w:rPr>
          <w:rStyle w:val="normaltextrun"/>
          <w:sz w:val="22"/>
          <w:szCs w:val="22"/>
          <w:rFonts w:ascii="Calibri" w:hAnsi="Calibri"/>
        </w:rPr>
        <w:t xml:space="preserve">(Itália)</w:t>
      </w:r>
    </w:p>
    <w:p w:rsidR="00AC3865" w:rsidP="009E0016" w:rsidRDefault="00AC3865" w14:paraId="3BF07FD0" w14:textId="2FA162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2.</w:t>
      </w:r>
      <w:r>
        <w:rPr>
          <w:rStyle w:val="normaltextrun"/>
          <w:sz w:val="22"/>
          <w:szCs w:val="22"/>
          <w:vertAlign w:val="superscript"/>
          <w:rFonts w:ascii="Calibri" w:hAnsi="Calibri"/>
        </w:rPr>
        <w:t xml:space="preserve">º</w:t>
      </w:r>
      <w:r>
        <w:rPr>
          <w:rStyle w:val="normaltextrun"/>
          <w:sz w:val="22"/>
          <w:szCs w:val="22"/>
          <w:rFonts w:ascii="Calibri" w:hAnsi="Calibri"/>
        </w:rPr>
        <w:t xml:space="preserve"> lugar: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cleanSpot </w:t>
      </w:r>
      <w:r>
        <w:rPr>
          <w:rStyle w:val="normaltextrun"/>
          <w:sz w:val="22"/>
          <w:szCs w:val="22"/>
          <w:rFonts w:ascii="Calibri" w:hAnsi="Calibri"/>
        </w:rPr>
        <w:t xml:space="preserve">(Espanha)</w:t>
      </w:r>
    </w:p>
    <w:p w:rsidRPr="00644D23" w:rsidR="00AC3865" w:rsidP="009E0016" w:rsidRDefault="00AC3865" w14:paraId="15F45A9F" w14:textId="3503A54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3.</w:t>
      </w:r>
      <w:r>
        <w:rPr>
          <w:rStyle w:val="normaltextrun"/>
          <w:sz w:val="22"/>
          <w:szCs w:val="22"/>
          <w:vertAlign w:val="superscript"/>
          <w:rFonts w:ascii="Calibri" w:hAnsi="Calibri"/>
        </w:rPr>
        <w:t xml:space="preserve">º</w:t>
      </w:r>
      <w:r>
        <w:rPr>
          <w:rStyle w:val="normaltextrun"/>
          <w:sz w:val="22"/>
          <w:szCs w:val="22"/>
          <w:rFonts w:ascii="Calibri" w:hAnsi="Calibri"/>
        </w:rPr>
        <w:t xml:space="preserve"> lugar: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FROG2G </w:t>
      </w:r>
      <w:r>
        <w:rPr>
          <w:rStyle w:val="normaltextrun"/>
          <w:sz w:val="22"/>
          <w:szCs w:val="22"/>
          <w:rFonts w:ascii="Calibri" w:hAnsi="Calibri"/>
        </w:rPr>
        <w:t xml:space="preserve">(Montenegro)</w:t>
      </w:r>
    </w:p>
    <w:p w:rsidR="2BB2B4B9" w:rsidP="009E0016" w:rsidRDefault="2BB2B4B9" w14:paraId="0A5CDC3C" w14:textId="1BF9B78B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B42A50" w:rsidR="007D7581" w:rsidP="009E0016" w:rsidRDefault="007D7581" w14:paraId="192F049F" w14:textId="03BBF85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As Jornadas de Dados Abertos da UE foram organizadas pelo </w:t>
      </w:r>
      <w:hyperlink w:history="1" r:id="rId15">
        <w:r>
          <w:rPr>
            <w:rStyle w:val="Hyperlink"/>
            <w:sz w:val="22"/>
            <w:szCs w:val="22"/>
            <w:rFonts w:ascii="Calibri" w:hAnsi="Calibri"/>
          </w:rPr>
          <w:t xml:space="preserve">Serviço das Publicações da União Europeia</w:t>
        </w:r>
      </w:hyperlink>
      <w:r>
        <w:rPr>
          <w:rStyle w:val="normaltextrun"/>
          <w:sz w:val="22"/>
          <w:szCs w:val="22"/>
          <w:rFonts w:ascii="Calibri" w:hAnsi="Calibri"/>
        </w:rPr>
        <w:t xml:space="preserve">, com o apoio ativo de mais de 60 parceiros, em representação dos fornecedores de dados das instituições e agências da UE, dos portais nacionais europeus de dados abertos e dos serviços nacionais de estatística, bem como dos principais operadores digitais no Luxemburgo.</w:t>
      </w:r>
    </w:p>
    <w:p w:rsidRPr="00B42A50" w:rsidR="006B3E23" w:rsidP="009E0016" w:rsidRDefault="009E0016" w14:paraId="3BD11517" w14:textId="77777777">
      <w:pPr>
        <w:jc w:val="both"/>
        <w:rPr>
          <w:lang w:val="en-IE"/>
        </w:rPr>
      </w:pPr>
    </w:p>
    <w:sectPr w:rsidRPr="00B42A50" w:rsidR="006B3E2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81"/>
    <w:rsid w:val="000C3BA0"/>
    <w:rsid w:val="001B51CA"/>
    <w:rsid w:val="002978ED"/>
    <w:rsid w:val="003867CA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713"/>
    <w:rsid w:val="00C53002"/>
    <w:rsid w:val="00D35448"/>
    <w:rsid w:val="00DD6D75"/>
    <w:rsid w:val="00DD7857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7D7581"/>
  </w:style>
  <w:style w:type="character" w:styleId="eop" w:customStyle="1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p.europa.eu/en/web/eudataviz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microsoft.com/office/2016/09/relationships/commentsIds" Target="commentsIds.xml" Id="Rc7f5d4bd0add441a" /><Relationship Type="http://schemas.microsoft.com/office/2018/08/relationships/commentsExtensible" Target="commentsExtensible.xml" Id="R10921b2158534410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hyperlink" Target="https://op.europa.eu/en/home" TargetMode="External" Id="rId15" /><Relationship Type="http://schemas.openxmlformats.org/officeDocument/2006/relationships/styles" Target="styles.xml" Id="rId4" /><Relationship Type="http://schemas.openxmlformats.org/officeDocument/2006/relationships/hyperlink" Target="https://op.europa.eu/en/web/eudatathon" TargetMode="External" Id="rId9" /><Relationship Type="http://schemas.openxmlformats.org/officeDocument/2006/relationships/image" Target="media/image4.png" Id="rId14" /><Relationship Type="http://schemas.openxmlformats.org/officeDocument/2006/relationships/hyperlink" Target="https://www.youtube.com/playlist?list=PLT5rARDev_rnik8jF6E8k5AjN5zeJmqXG" TargetMode="External" Id="R916a1cdcc0a84d65" /><Relationship Type="http://schemas.openxmlformats.org/officeDocument/2006/relationships/hyperlink" Target="https://op.europa.eu/en/web/euopendatadays" TargetMode="External" Id="R8e1ba1c8eea745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58E73-01BE-4E58-A6EA-5307AC4FF13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FURSTENZELLER Tomas (OP)</dc:creator>
  <keywords/>
  <dc:description/>
  <lastModifiedBy>FURSTENZELLER Tomas (OP)</lastModifiedBy>
  <revision>14</revision>
  <dcterms:created xsi:type="dcterms:W3CDTF">2021-11-18T15:00:00.0000000Z</dcterms:created>
  <dcterms:modified xsi:type="dcterms:W3CDTF">2021-11-26T11:02:44.7864919Z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